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59B07">
      <w:pPr>
        <w:shd w:val="clear" w:color="auto" w:fill="FFFFFF"/>
        <w:spacing w:line="560" w:lineRule="exact"/>
        <w:ind w:firstLine="0" w:firstLineChars="0"/>
        <w:jc w:val="left"/>
        <w:rPr>
          <w:rFonts w:hint="eastAsia" w:ascii="宋体" w:hAnsi="宋体" w:cs="宋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TimesNewRoman" w:eastAsia="仿宋_GB2312" w:cs="仿宋-WinCharSetFFFF-H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  <w:t xml:space="preserve">附件2 </w:t>
      </w:r>
    </w:p>
    <w:p w14:paraId="2AD340D9">
      <w:pPr>
        <w:pStyle w:val="2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jc w:val="center"/>
        <w:rPr>
          <w:rFonts w:hint="default" w:ascii="仿宋_GB2312" w:hAnsi="TimesNewRoman" w:eastAsia="仿宋_GB2312" w:cs="仿宋-WinCharSetFFFF-H"/>
          <w:b w:val="0"/>
          <w:bCs w:val="0"/>
          <w:color w:val="FF0000"/>
          <w:kern w:val="0"/>
          <w:sz w:val="32"/>
          <w:szCs w:val="32"/>
          <w:lang w:val="en-US" w:eastAsia="zh-CN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海旅01号游船餐饮招商评审表</w:t>
      </w:r>
    </w:p>
    <w:tbl>
      <w:tblPr>
        <w:tblStyle w:val="3"/>
        <w:tblW w:w="84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96"/>
        <w:gridCol w:w="1084"/>
        <w:gridCol w:w="5119"/>
      </w:tblGrid>
      <w:tr w14:paraId="4F3DA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C057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评审项目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9D8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分值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6A4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评分细则</w:t>
            </w:r>
          </w:p>
        </w:tc>
      </w:tr>
      <w:tr w14:paraId="01714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CD1A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一、企业品牌实力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188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20分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827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</w:p>
        </w:tc>
      </w:tr>
      <w:tr w14:paraId="4934C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0A16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1.1 品牌影响力与知名度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56E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8分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6E8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全国性或区域性知名品牌，知名度高（7—8分）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本地知名品牌，具有一定市场认知（5—6分）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品牌影响力一般，知名度有限（3—4分）</w:t>
            </w:r>
          </w:p>
        </w:tc>
      </w:tr>
      <w:tr w14:paraId="582D2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40B8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1.2 经营年限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4F5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6分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934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持续经营5年以上（6分）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持续经营3年（4—5分）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不足3年（0分）</w:t>
            </w:r>
          </w:p>
        </w:tc>
      </w:tr>
      <w:tr w14:paraId="5EBEA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1245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1.3 本地市场经验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6BE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6分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C89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在海口有成熟实体店，运营良好，表现盈利（6分）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有海口实体店但运营一般，表现微利或亏损（3—5分）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无本地实体店（0分）</w:t>
            </w:r>
          </w:p>
        </w:tc>
      </w:tr>
      <w:tr w14:paraId="5F32D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6124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二、运营方案质量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BFF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30分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7762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</w:p>
        </w:tc>
      </w:tr>
      <w:tr w14:paraId="25C34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68C5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2.1 项目定位与客群分析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140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6分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2EF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定位清晰，客群分析精准（5—6分）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定位较清晰，客群分析一般（3—4分）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定位模糊，客群分析不足（0-2分）</w:t>
            </w:r>
          </w:p>
        </w:tc>
      </w:tr>
      <w:tr w14:paraId="1EEF7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339D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2.2 各时段经营策略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762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8分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EBE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老爸茶、中餐、下午茶、晚餐、宵夜等时段策略完整、可行（7—8分）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策略较完整，部分时段略显薄弱（5—6分）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策略不完整或不可行（0-4分）</w:t>
            </w:r>
          </w:p>
        </w:tc>
      </w:tr>
      <w:tr w14:paraId="589EA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303D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2.3 营销推广计划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A0E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8分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F56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营销手段多样，渠道清晰，可行性强（7—8分）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营销手段一般，渠道较清晰，可行性一般（5—6分）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营销计划简单或缺乏可行性（0-4分）</w:t>
            </w:r>
          </w:p>
        </w:tc>
      </w:tr>
      <w:tr w14:paraId="225A1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6397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2.4 产品创新性与差异化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ADC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8分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CFB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具有明显创新点，能形成差异化竞争优势（7—8分）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有一定创新，但不够突出（5—6分）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缺乏创新，同质化严重（0-4分）</w:t>
            </w:r>
          </w:p>
        </w:tc>
      </w:tr>
      <w:tr w14:paraId="2836F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808A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三、服务体系与管理能力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E9A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25分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3F6F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</w:p>
        </w:tc>
      </w:tr>
      <w:tr w14:paraId="1335D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CBC9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3.1 服务标准文件完整性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DBE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10分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B2B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产品开发、厨房管理、食品安全、客诉管理文件齐全、规范（9—10分）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服务标准文件较齐全，但部分环节不够详细（7—8分）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服务标准文件缺失或内容粗糙（0-6分）</w:t>
            </w:r>
          </w:p>
        </w:tc>
      </w:tr>
      <w:tr w14:paraId="1B0A3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ABB9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3.2 食品安全与应急预案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E3E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8分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6FD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食品安全制度完善，应急预案具体可行（7—8分）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制度较完整，但应急预案不够具体（5—6分）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制度不完善或缺失（0-4分）</w:t>
            </w:r>
          </w:p>
        </w:tc>
      </w:tr>
      <w:tr w14:paraId="7971B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B7EF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3.3 客诉管理机制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2B1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7分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1AC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客诉处理流程清晰，响应迅速，有闭环管理（6—7分）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流程基本完整，但执行细节不足（4—5分）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流程缺失或不清晰（0-3分）</w:t>
            </w:r>
          </w:p>
        </w:tc>
      </w:tr>
      <w:tr w14:paraId="69618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F23F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四、商务条件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999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25分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9D1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合作方式：固定租金与联营扣点两者取其高</w:t>
            </w:r>
          </w:p>
        </w:tc>
      </w:tr>
      <w:tr w14:paraId="5E49B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202C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A. 固定租金（报价：__元/年）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97A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最高25分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4EB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按此部分或B部分中得分较高者计入最终商务条件分</w:t>
            </w:r>
          </w:p>
        </w:tc>
      </w:tr>
      <w:tr w14:paraId="58467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0CE9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  基础得分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11D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15分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740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年平均租金达到30万元（得15分）（三年合作期，年平均低于30万元，不得分）</w:t>
            </w:r>
          </w:p>
        </w:tc>
      </w:tr>
      <w:tr w14:paraId="73987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9A10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  递增得分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63B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最高10分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1AB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在30万元基础上，年租金每增加1万元，加1分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最高加10分（即年租金≥40万元）</w:t>
            </w:r>
          </w:p>
        </w:tc>
      </w:tr>
      <w:tr w14:paraId="28EC8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6313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B. 联营扣点报价（报价：____%）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36D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最高25分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565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按此部分或A部分中得分较高者计入最终商务条件分</w:t>
            </w:r>
          </w:p>
        </w:tc>
      </w:tr>
      <w:tr w14:paraId="4EB6F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43F2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  基础得分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4C2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15分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053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联营扣点率不低于营业额的 </w:t>
            </w: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15%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 （得15分）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 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注：扣点率低于15%的本项不得分</w:t>
            </w:r>
          </w:p>
        </w:tc>
      </w:tr>
      <w:tr w14:paraId="14E0C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9CF4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  递增得分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6E6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最高10分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ECE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在15%基础上，扣点率每增加1个百分点（即1%），加1分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最高加10分（即扣点率≥25%）</w:t>
            </w:r>
          </w:p>
        </w:tc>
      </w:tr>
      <w:tr w14:paraId="21FD6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B455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最终商务条件得分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468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25分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3E7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取 A部分 与 B部分 中得分较高者</w:t>
            </w:r>
          </w:p>
        </w:tc>
      </w:tr>
      <w:tr w14:paraId="561F0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17F1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总分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0EA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b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100分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3FA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</w:p>
        </w:tc>
      </w:tr>
    </w:tbl>
    <w:p w14:paraId="0AB54E78"/>
    <w:p w14:paraId="4408FAD0">
      <w:bookmarkStart w:id="0" w:name="_GoBack"/>
      <w:bookmarkEnd w:id="0"/>
    </w:p>
    <w:sectPr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New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8F5C0C"/>
    <w:rsid w:val="398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2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2026-07-20T09:57:00Z</dcterms:created>
  <dc:creator>莫洁莹</dc:creator>
  <cp:lastModifiedBy>莫洁莹</cp:lastModifiedBy>
  <dcterms:modified xsi:type="dcterms:W3CDTF">2026-07-20T09:58:03Z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2CCFE802FFFC48A9BBED745E6D488256_11</vt:lpwstr>
  </property>
  <property fmtid="{D5CDD505-2E9C-101B-9397-08002B2CF9AE}" pid="4" name="KSOTemplateDocerSaveRecord">
    <vt:lpwstr>eyJoZGlkIjoiZTdkYzkyZDQzZGZmNWU1Y2NiZjA1MjUzMDkwNjkxM2MiLCJ1c2VySWQiOiIxODA2MDg2MjcyIn0=</vt:lpwstr>
  </property>
</Properties>
</file>